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黑体" w:hAnsi="黑体" w:eastAsia="黑体" w:cs="黑体"/>
          <w:b/>
          <w:bCs/>
          <w:sz w:val="32"/>
          <w:szCs w:val="32"/>
        </w:rPr>
      </w:pPr>
      <w:r>
        <w:rPr>
          <w:rFonts w:hint="eastAsia" w:ascii="宋体" w:hAnsi="宋体" w:cs="宋体"/>
          <w:sz w:val="28"/>
          <w:szCs w:val="28"/>
        </w:rPr>
        <w:t>典型案例一：</w:t>
      </w:r>
    </w:p>
    <w:p>
      <w:pPr>
        <w:spacing w:line="600" w:lineRule="exact"/>
        <w:jc w:val="center"/>
        <w:rPr>
          <w:rFonts w:ascii="黑体" w:hAnsi="黑体" w:eastAsia="黑体" w:cs="黑体"/>
          <w:b/>
          <w:bCs/>
          <w:sz w:val="32"/>
          <w:szCs w:val="32"/>
        </w:rPr>
      </w:pPr>
      <w:r>
        <w:rPr>
          <w:rFonts w:hint="eastAsia" w:ascii="黑体" w:hAnsi="黑体" w:eastAsia="黑体" w:cs="黑体"/>
          <w:b/>
          <w:bCs/>
          <w:sz w:val="32"/>
          <w:szCs w:val="32"/>
        </w:rPr>
        <w:t>创新党建“1+1+1”模式  打造坚强战斗堡垒</w:t>
      </w:r>
    </w:p>
    <w:p>
      <w:pPr>
        <w:spacing w:line="600" w:lineRule="exact"/>
        <w:ind w:firstLine="602" w:firstLineChars="200"/>
        <w:jc w:val="left"/>
        <w:rPr>
          <w:rFonts w:ascii="仿宋_GB2312" w:hAnsi="仿宋_GB2312" w:eastAsia="仿宋_GB2312" w:cs="仿宋_GB2312"/>
          <w:b/>
          <w:sz w:val="30"/>
          <w:szCs w:val="30"/>
        </w:rPr>
      </w:pPr>
    </w:p>
    <w:p>
      <w:pPr>
        <w:spacing w:line="360" w:lineRule="auto"/>
        <w:ind w:firstLine="600" w:firstLineChars="200"/>
        <w:jc w:val="left"/>
        <w:rPr>
          <w:rFonts w:ascii="仿宋" w:hAnsi="仿宋" w:eastAsia="仿宋" w:cs="仿宋"/>
          <w:bCs/>
          <w:sz w:val="30"/>
          <w:szCs w:val="30"/>
        </w:rPr>
      </w:pPr>
      <w:r>
        <w:rPr>
          <w:rFonts w:hint="eastAsia" w:ascii="仿宋" w:hAnsi="仿宋" w:eastAsia="仿宋" w:cs="仿宋"/>
          <w:bCs/>
          <w:sz w:val="30"/>
          <w:szCs w:val="30"/>
        </w:rPr>
        <w:t>化学与生物工程学院教工第一党支部以湖南省高校党建工作标杆院系和全国党建工作样板支部项目为依托，立足党的事业发展全局，全面贯彻党的教育方针，紧扣新时代党的建设总要求和新时代党的组织路线，围绕把党组织建设成为“宣传党的主张、贯彻党的决定、领导基层治理、团结动员群众、推动改革发展的坚强战斗堡垒”党建工作目标，按照“两”提升、“三”强化党建工作思路，树牢</w:t>
      </w:r>
      <w:r>
        <w:rPr>
          <w:rFonts w:hint="eastAsia" w:ascii="仿宋" w:hAnsi="仿宋" w:eastAsia="仿宋" w:cs="仿宋"/>
          <w:b/>
          <w:sz w:val="30"/>
          <w:szCs w:val="30"/>
        </w:rPr>
        <w:t>“1+1+1”</w:t>
      </w:r>
      <w:r>
        <w:rPr>
          <w:rFonts w:hint="eastAsia" w:ascii="仿宋" w:hAnsi="仿宋" w:eastAsia="仿宋" w:cs="仿宋"/>
          <w:bCs/>
          <w:sz w:val="30"/>
          <w:szCs w:val="30"/>
        </w:rPr>
        <w:t>党建工作品牌意识，以此通过思想引领、载体创新、资源整合，将党的建设与教书育人、学术科研、服务社会有机结合融为一体，使党支部成为先进思想的引导者，特色载体的推动者，典型示范的辐射源，中心工作开展的助推器，打造坚强战斗堡垒。</w:t>
      </w:r>
    </w:p>
    <w:p>
      <w:pPr>
        <w:spacing w:line="360" w:lineRule="auto"/>
        <w:ind w:firstLine="602" w:firstLineChars="200"/>
        <w:jc w:val="left"/>
        <w:rPr>
          <w:rFonts w:ascii="仿宋" w:hAnsi="仿宋" w:eastAsia="仿宋" w:cs="仿宋"/>
          <w:bCs/>
          <w:sz w:val="30"/>
          <w:szCs w:val="30"/>
        </w:rPr>
      </w:pPr>
      <w:r>
        <w:rPr>
          <w:rFonts w:hint="eastAsia" w:ascii="仿宋" w:hAnsi="仿宋" w:eastAsia="仿宋" w:cs="仿宋"/>
          <w:b/>
          <w:bCs/>
          <w:sz w:val="30"/>
          <w:szCs w:val="30"/>
        </w:rPr>
        <w:t>一是</w:t>
      </w:r>
      <w:r>
        <w:rPr>
          <w:rFonts w:hint="eastAsia" w:ascii="仿宋" w:hAnsi="仿宋" w:eastAsia="仿宋" w:cs="仿宋"/>
          <w:bCs/>
          <w:sz w:val="30"/>
          <w:szCs w:val="30"/>
        </w:rPr>
        <w:t>人才培养推行1名教工党员+1名学生党员+1名学生的“导师制”。以学生“能力培养”为中心，以大学生创新创业训练计划为抓手，开展学生科研导航活动，为学生义务担任科研导师，开放实验室及科研课题，促进师生共成长。近年来，学生以第一作者在国内外SCI/CSCD等权威期刊上发表高水平学术论文20余篇；党员教师指导学生获得全国大学生“互联网+”等创新创业大赛银奖2项、铜奖5项。“创业大赛”，省级奖励100余项。2020-2021年，指导和帮助184名毕业生学生考取硕士研究生，考研录取率达25%以上。</w:t>
      </w:r>
    </w:p>
    <w:p>
      <w:pPr>
        <w:spacing w:line="360" w:lineRule="auto"/>
        <w:ind w:firstLine="602" w:firstLineChars="200"/>
        <w:rPr>
          <w:rFonts w:ascii="仿宋" w:hAnsi="仿宋" w:eastAsia="仿宋" w:cs="仿宋"/>
          <w:sz w:val="30"/>
          <w:szCs w:val="30"/>
        </w:rPr>
      </w:pPr>
      <w:r>
        <w:rPr>
          <w:rFonts w:hint="eastAsia" w:ascii="仿宋" w:hAnsi="仿宋" w:eastAsia="仿宋" w:cs="仿宋"/>
          <w:b/>
          <w:sz w:val="30"/>
          <w:szCs w:val="30"/>
        </w:rPr>
        <w:t>二是</w:t>
      </w:r>
      <w:r>
        <w:rPr>
          <w:rFonts w:hint="eastAsia" w:ascii="仿宋" w:hAnsi="仿宋" w:eastAsia="仿宋" w:cs="仿宋"/>
          <w:bCs/>
          <w:sz w:val="30"/>
          <w:szCs w:val="30"/>
        </w:rPr>
        <w:t>教学科研推行1名党员+1名群众+1门课程或1个课题的结对形式。以“科技创新”为中心，以共同申报项目、撰写论文为抓手，开展结对帮扶活动，共享资源，优势互补，攻克科研难题。</w:t>
      </w:r>
      <w:r>
        <w:rPr>
          <w:rFonts w:hint="eastAsia" w:ascii="仿宋" w:hAnsi="仿宋" w:eastAsia="仿宋" w:cs="仿宋"/>
          <w:sz w:val="30"/>
          <w:szCs w:val="30"/>
        </w:rPr>
        <w:t>近3年,获国家自科基金10项、国家重点研发计划子课题2项、中国科协项目3项、省自科基金项目35项、省重点研究计划15项、湖湘人才计划2项；发表论文300余篇，其中SCI收录100余篇，SCI一区20余篇（2篇封面，1篇封底，4篇论文进入ESI全球TOP1%高被引论文，2篇论文被评为热点论文），获发明授权40余项、全国农牧渔业丰收二等奖1项、省科技进步奖5项。</w:t>
      </w:r>
    </w:p>
    <w:p>
      <w:pPr>
        <w:spacing w:line="360" w:lineRule="auto"/>
        <w:ind w:firstLine="602" w:firstLineChars="200"/>
        <w:rPr>
          <w:rFonts w:ascii="仿宋" w:hAnsi="仿宋" w:eastAsia="仿宋" w:cs="仿宋"/>
          <w:bCs/>
          <w:sz w:val="30"/>
          <w:szCs w:val="30"/>
        </w:rPr>
      </w:pPr>
      <w:r>
        <w:rPr>
          <w:rFonts w:hint="eastAsia" w:ascii="仿宋" w:hAnsi="仿宋" w:eastAsia="仿宋" w:cs="仿宋"/>
          <w:b/>
          <w:bCs/>
          <w:sz w:val="30"/>
          <w:szCs w:val="30"/>
        </w:rPr>
        <w:t>三是</w:t>
      </w:r>
      <w:r>
        <w:rPr>
          <w:rFonts w:hint="eastAsia" w:ascii="仿宋" w:hAnsi="仿宋" w:eastAsia="仿宋" w:cs="仿宋"/>
          <w:bCs/>
          <w:sz w:val="30"/>
          <w:szCs w:val="30"/>
        </w:rPr>
        <w:t>服务地方推行1名党员+1个企业或农户+1个难题的服务形式。主动与与永州9县2区20余家企业开展技术合作，共建了3个研究所，选派6名“省三区人才”或科技特派员开展技术攻关，帮助企业成功申报省级平台3个，争取各类资金500余万元。</w:t>
      </w:r>
      <w:r>
        <w:rPr>
          <w:rFonts w:hint="eastAsia" w:ascii="仿宋" w:hAnsi="仿宋" w:eastAsia="仿宋" w:cs="仿宋"/>
          <w:bCs/>
          <w:color w:val="000000"/>
          <w:sz w:val="30"/>
          <w:szCs w:val="30"/>
        </w:rPr>
        <w:t>以创新理念和技术帮助企业产业转型和发展，引导农民、企业调整产业结构。油茶精深加工与副产物综合利用新技术团队开发了功能茶油、化妆品、纤维容器、茶壳活性炭等产品，每吨副产物增值3000元以上，培训产业人员500余名，帮助300个农户脱贫。原支部书记，现永州市江永县副县长入驻湖南恒伟药业股份有限公司，攻克了银杏叶内酯提取技术难关，帮助企业实现了制药中间体的自主生产的大难题，先后开发血洛通胶囊、银杏茶、“金杏爽”特制草本饮料、倍特纯中药修复护理洗面奶、植雅洗发液等系列银杏产品，累计产值2.8亿元，利润2500万元，缴税1200万元，先进事迹广受社会和企业好评，湖南卫视、永州电视台等主流媒体竞先报道。</w:t>
      </w:r>
      <w:r>
        <w:rPr>
          <w:rFonts w:hint="eastAsia" w:ascii="仿宋" w:hAnsi="仿宋" w:eastAsia="仿宋" w:cs="仿宋"/>
          <w:bCs/>
          <w:sz w:val="30"/>
          <w:szCs w:val="30"/>
        </w:rPr>
        <w:t>近年来，学院以党员牵头的教授博士团队深入田间地头，指导永州市江永县上江圩香姜农民专业合作社开展土壤消毒，实现了生姜每亩增产100%；技术推广应用至江永、双牌、冷水滩、新田生姜、烟草作物后，江永县生姜每亩增产89.87%、双牌县虎爪姜增产60%以上，市烟科所烟草增产75%，新田县龙泉镇潮水铺村烟草增产50%，解决了当地经济作物水旱轮作病虫害严重等问题。</w:t>
      </w:r>
    </w:p>
    <w:p>
      <w:pPr>
        <w:spacing w:line="360" w:lineRule="auto"/>
        <w:ind w:firstLine="600" w:firstLineChars="200"/>
        <w:rPr>
          <w:rFonts w:ascii="仿宋" w:hAnsi="仿宋" w:eastAsia="仿宋" w:cs="仿宋"/>
          <w:bCs/>
          <w:sz w:val="30"/>
          <w:szCs w:val="30"/>
        </w:rPr>
      </w:pPr>
      <w:r>
        <w:rPr>
          <w:rFonts w:hint="eastAsia" w:ascii="仿宋" w:hAnsi="仿宋" w:eastAsia="仿宋" w:cs="仿宋"/>
          <w:bCs/>
          <w:sz w:val="30"/>
          <w:szCs w:val="30"/>
        </w:rPr>
        <w:t>党支部</w:t>
      </w:r>
      <w:r>
        <w:rPr>
          <w:rFonts w:hint="eastAsia" w:ascii="仿宋" w:hAnsi="仿宋" w:eastAsia="仿宋" w:cs="仿宋"/>
          <w:b/>
          <w:sz w:val="30"/>
          <w:szCs w:val="30"/>
        </w:rPr>
        <w:t>1+1+1”</w:t>
      </w:r>
      <w:r>
        <w:rPr>
          <w:rFonts w:hint="eastAsia" w:ascii="仿宋" w:hAnsi="仿宋" w:eastAsia="仿宋" w:cs="仿宋"/>
          <w:bCs/>
          <w:sz w:val="30"/>
          <w:szCs w:val="30"/>
        </w:rPr>
        <w:t>党建模式实践以来，在全体党员的共同努力下，取得了成效，实现了学生受益、教师进步、企业和群众满意的工作目标，引起社会广泛关注，得到了省市领导高度肯定，《光明日报》《中国教育报》《湖南日报》、湖南电视台、永州电视台、红网等主流媒体先后予以了报道。</w:t>
      </w:r>
    </w:p>
    <w:p>
      <w:pPr>
        <w:spacing w:line="360" w:lineRule="auto"/>
        <w:rPr>
          <w:rFonts w:ascii="仿宋" w:hAnsi="仿宋" w:eastAsia="仿宋" w:cs="仿宋"/>
          <w:sz w:val="32"/>
          <w:szCs w:val="40"/>
        </w:rPr>
      </w:pPr>
    </w:p>
    <w:p>
      <w:pPr>
        <w:rPr>
          <w:rFonts w:ascii="仿宋" w:hAnsi="仿宋" w:eastAsia="仿宋" w:cs="仿宋"/>
          <w:sz w:val="32"/>
          <w:szCs w:val="40"/>
        </w:rPr>
      </w:pPr>
    </w:p>
    <w:p>
      <w:pPr>
        <w:rPr>
          <w:rFonts w:ascii="仿宋" w:hAnsi="仿宋" w:eastAsia="仿宋" w:cs="仿宋"/>
          <w:sz w:val="32"/>
          <w:szCs w:val="40"/>
        </w:rPr>
      </w:pPr>
    </w:p>
    <w:p>
      <w:pPr>
        <w:rPr>
          <w:rFonts w:ascii="黑体" w:hAnsi="黑体" w:eastAsia="黑体" w:cs="黑体"/>
          <w:sz w:val="32"/>
          <w:szCs w:val="40"/>
        </w:rPr>
      </w:pPr>
    </w:p>
    <w:p>
      <w:pPr>
        <w:rPr>
          <w:rFonts w:ascii="黑体" w:hAnsi="黑体" w:eastAsia="黑体" w:cs="黑体"/>
          <w:sz w:val="32"/>
          <w:szCs w:val="40"/>
        </w:rPr>
      </w:pPr>
    </w:p>
    <w:p>
      <w:pPr>
        <w:rPr>
          <w:rFonts w:ascii="黑体" w:hAnsi="黑体" w:eastAsia="黑体" w:cs="黑体"/>
          <w:sz w:val="32"/>
          <w:szCs w:val="40"/>
        </w:rPr>
      </w:pPr>
    </w:p>
    <w:p>
      <w:pPr>
        <w:rPr>
          <w:rFonts w:ascii="黑体" w:hAnsi="黑体" w:eastAsia="黑体" w:cs="黑体"/>
          <w:sz w:val="32"/>
          <w:szCs w:val="40"/>
        </w:rPr>
      </w:pPr>
    </w:p>
    <w:p>
      <w:pPr>
        <w:rPr>
          <w:rFonts w:ascii="黑体" w:hAnsi="黑体" w:eastAsia="黑体" w:cs="黑体"/>
          <w:sz w:val="32"/>
          <w:szCs w:val="40"/>
        </w:rPr>
      </w:pPr>
    </w:p>
    <w:p>
      <w:pPr>
        <w:jc w:val="center"/>
        <w:rPr>
          <w:rFonts w:ascii="黑体" w:hAnsi="黑体" w:eastAsia="黑体" w:cs="黑体"/>
          <w:sz w:val="36"/>
          <w:szCs w:val="44"/>
        </w:rPr>
      </w:pPr>
      <w:r>
        <w:rPr>
          <w:rFonts w:hint="eastAsia" w:ascii="黑体" w:hAnsi="黑体" w:eastAsia="黑体" w:cs="黑体"/>
          <w:b/>
          <w:bCs/>
          <w:sz w:val="36"/>
          <w:szCs w:val="44"/>
        </w:rPr>
        <w:t>一、化生学院教工第一党总支部分党建荣誉</w:t>
      </w:r>
    </w:p>
    <w:p>
      <w:pPr>
        <w:jc w:val="center"/>
        <w:rPr>
          <w:rFonts w:ascii="宋体" w:hAnsi="宋体" w:cs="宋体"/>
          <w:b/>
          <w:bCs/>
          <w:sz w:val="24"/>
        </w:rPr>
      </w:pPr>
      <w:r>
        <w:drawing>
          <wp:inline distT="0" distB="0" distL="114300" distR="114300">
            <wp:extent cx="4076700" cy="288607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4076700" cy="2886075"/>
                    </a:xfrm>
                    <a:prstGeom prst="rect">
                      <a:avLst/>
                    </a:prstGeom>
                    <a:noFill/>
                    <a:ln>
                      <a:noFill/>
                    </a:ln>
                  </pic:spPr>
                </pic:pic>
              </a:graphicData>
            </a:graphic>
          </wp:inline>
        </w:drawing>
      </w:r>
    </w:p>
    <w:p>
      <w:pPr>
        <w:jc w:val="center"/>
        <w:rPr>
          <w:rFonts w:ascii="宋体" w:hAnsi="宋体" w:cs="宋体"/>
          <w:b/>
          <w:bCs/>
          <w:sz w:val="24"/>
        </w:rPr>
      </w:pPr>
      <w:r>
        <w:rPr>
          <w:rFonts w:hint="eastAsia" w:ascii="宋体" w:hAnsi="宋体" w:cs="宋体"/>
          <w:b/>
          <w:bCs/>
          <w:sz w:val="24"/>
        </w:rPr>
        <w:t>省高校党建工作标杆院系</w:t>
      </w:r>
    </w:p>
    <w:p>
      <w:pPr>
        <w:jc w:val="center"/>
        <w:rPr>
          <w:rFonts w:ascii="宋体" w:hAnsi="宋体" w:cs="宋体"/>
          <w:b/>
          <w:bCs/>
          <w:sz w:val="24"/>
        </w:rPr>
      </w:pPr>
    </w:p>
    <w:p>
      <w:pPr>
        <w:rPr>
          <w:rFonts w:ascii="宋体" w:hAnsi="宋体" w:cs="宋体"/>
          <w:sz w:val="24"/>
        </w:rPr>
      </w:pPr>
    </w:p>
    <w:p>
      <w:pPr>
        <w:jc w:val="center"/>
      </w:pPr>
      <w:r>
        <w:drawing>
          <wp:inline distT="0" distB="0" distL="114300" distR="114300">
            <wp:extent cx="4086225" cy="2800350"/>
            <wp:effectExtent l="0" t="0" r="9525"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6"/>
                    <a:stretch>
                      <a:fillRect/>
                    </a:stretch>
                  </pic:blipFill>
                  <pic:spPr>
                    <a:xfrm>
                      <a:off x="0" y="0"/>
                      <a:ext cx="4086225" cy="2800350"/>
                    </a:xfrm>
                    <a:prstGeom prst="rect">
                      <a:avLst/>
                    </a:prstGeom>
                    <a:noFill/>
                    <a:ln>
                      <a:noFill/>
                    </a:ln>
                  </pic:spPr>
                </pic:pic>
              </a:graphicData>
            </a:graphic>
          </wp:inline>
        </w:drawing>
      </w:r>
    </w:p>
    <w:p>
      <w:pPr>
        <w:jc w:val="center"/>
      </w:pPr>
    </w:p>
    <w:p>
      <w:pPr>
        <w:jc w:val="center"/>
        <w:rPr>
          <w:rFonts w:ascii="宋体" w:hAnsi="宋体" w:cs="宋体"/>
          <w:b/>
          <w:bCs/>
          <w:sz w:val="28"/>
          <w:szCs w:val="28"/>
        </w:rPr>
      </w:pPr>
      <w:r>
        <w:rPr>
          <w:rFonts w:hint="eastAsia" w:ascii="宋体" w:hAnsi="宋体" w:cs="宋体"/>
          <w:b/>
          <w:bCs/>
          <w:sz w:val="24"/>
        </w:rPr>
        <w:t>教工一支部——省党建工作样板支部</w:t>
      </w:r>
    </w:p>
    <w:p>
      <w:pPr>
        <w:jc w:val="center"/>
        <w:rPr>
          <w:rFonts w:ascii="宋体" w:hAnsi="宋体" w:cs="宋体"/>
          <w:b/>
          <w:bCs/>
          <w:sz w:val="24"/>
        </w:rPr>
      </w:pPr>
    </w:p>
    <w:p>
      <w:pPr>
        <w:jc w:val="center"/>
        <w:rPr>
          <w:rFonts w:ascii="宋体" w:hAnsi="宋体" w:cs="宋体"/>
          <w:b/>
          <w:bCs/>
          <w:sz w:val="24"/>
        </w:rPr>
      </w:pPr>
    </w:p>
    <w:p>
      <w:pPr>
        <w:jc w:val="center"/>
        <w:rPr>
          <w:rFonts w:ascii="宋体" w:hAnsi="宋体" w:cs="宋体"/>
          <w:b/>
          <w:bCs/>
          <w:sz w:val="24"/>
        </w:rPr>
      </w:pPr>
    </w:p>
    <w:p>
      <w:pPr>
        <w:jc w:val="center"/>
        <w:rPr>
          <w:rFonts w:ascii="宋体" w:hAnsi="宋体" w:cs="宋体"/>
          <w:b/>
          <w:bCs/>
          <w:sz w:val="24"/>
        </w:rPr>
      </w:pPr>
    </w:p>
    <w:p>
      <w:pPr>
        <w:rPr>
          <w:rFonts w:ascii="黑体" w:hAnsi="黑体" w:eastAsia="黑体" w:cs="黑体"/>
          <w:b/>
          <w:bCs/>
          <w:sz w:val="32"/>
          <w:szCs w:val="40"/>
        </w:rPr>
      </w:pPr>
    </w:p>
    <w:p>
      <w:pPr>
        <w:jc w:val="center"/>
        <w:rPr>
          <w:rFonts w:ascii="黑体" w:hAnsi="黑体" w:eastAsia="黑体" w:cs="黑体"/>
          <w:b/>
          <w:bCs/>
          <w:sz w:val="36"/>
          <w:szCs w:val="44"/>
        </w:rPr>
      </w:pPr>
      <w:r>
        <w:rPr>
          <w:rFonts w:hint="eastAsia" w:ascii="黑体" w:hAnsi="黑体" w:eastAsia="黑体" w:cs="黑体"/>
          <w:b/>
          <w:bCs/>
          <w:sz w:val="36"/>
          <w:szCs w:val="44"/>
        </w:rPr>
        <w:t>二、教师党员部分党建荣誉</w:t>
      </w:r>
    </w:p>
    <w:p>
      <w:pPr>
        <w:jc w:val="center"/>
      </w:pPr>
    </w:p>
    <w:p>
      <w:pPr>
        <w:jc w:val="center"/>
      </w:pPr>
      <w:r>
        <w:drawing>
          <wp:inline distT="0" distB="0" distL="114300" distR="114300">
            <wp:extent cx="3746500" cy="2545715"/>
            <wp:effectExtent l="0" t="0" r="6350" b="698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3746500" cy="2545715"/>
                    </a:xfrm>
                    <a:prstGeom prst="rect">
                      <a:avLst/>
                    </a:prstGeom>
                    <a:noFill/>
                    <a:ln>
                      <a:noFill/>
                    </a:ln>
                  </pic:spPr>
                </pic:pic>
              </a:graphicData>
            </a:graphic>
          </wp:inline>
        </w:drawing>
      </w:r>
    </w:p>
    <w:p>
      <w:pPr>
        <w:jc w:val="center"/>
      </w:pPr>
      <w:r>
        <w:drawing>
          <wp:inline distT="0" distB="0" distL="114300" distR="114300">
            <wp:extent cx="3743960" cy="2678430"/>
            <wp:effectExtent l="0" t="0" r="8890" b="762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3743960" cy="2678430"/>
                    </a:xfrm>
                    <a:prstGeom prst="rect">
                      <a:avLst/>
                    </a:prstGeom>
                    <a:noFill/>
                    <a:ln>
                      <a:noFill/>
                    </a:ln>
                  </pic:spPr>
                </pic:pic>
              </a:graphicData>
            </a:graphic>
          </wp:inline>
        </w:drawing>
      </w:r>
    </w:p>
    <w:p>
      <w:pPr>
        <w:widowControl/>
        <w:jc w:val="left"/>
        <w:rPr>
          <w:rFonts w:ascii="黑体" w:hAnsi="黑体" w:eastAsia="黑体" w:cs="黑体"/>
          <w:b/>
          <w:bCs/>
          <w:sz w:val="36"/>
          <w:szCs w:val="44"/>
        </w:rPr>
      </w:pPr>
      <w:r>
        <w:rPr>
          <w:rFonts w:ascii="黑体" w:hAnsi="黑体" w:eastAsia="黑体" w:cs="黑体"/>
          <w:b/>
          <w:bCs/>
          <w:sz w:val="36"/>
          <w:szCs w:val="44"/>
        </w:rPr>
        <w:br w:type="page"/>
      </w:r>
    </w:p>
    <w:p>
      <w:pPr>
        <w:jc w:val="center"/>
        <w:rPr>
          <w:rFonts w:ascii="黑体" w:hAnsi="黑体" w:eastAsia="黑体" w:cs="黑体"/>
          <w:b/>
          <w:bCs/>
          <w:sz w:val="36"/>
          <w:szCs w:val="44"/>
        </w:rPr>
      </w:pPr>
      <w:r>
        <w:rPr>
          <w:rFonts w:hint="eastAsia" w:ascii="黑体" w:hAnsi="黑体" w:eastAsia="黑体" w:cs="黑体"/>
          <w:b/>
          <w:bCs/>
          <w:sz w:val="36"/>
          <w:szCs w:val="44"/>
        </w:rPr>
        <w:t>三、人才培养1+1+1</w:t>
      </w:r>
    </w:p>
    <w:p>
      <w:pPr>
        <w:jc w:val="center"/>
        <w:rPr>
          <w:rFonts w:ascii="仿宋" w:hAnsi="仿宋" w:eastAsia="仿宋" w:cs="仿宋"/>
          <w:b/>
          <w:bCs/>
          <w:sz w:val="28"/>
          <w:szCs w:val="36"/>
        </w:rPr>
      </w:pPr>
      <w:r>
        <w:rPr>
          <w:rFonts w:ascii="仿宋" w:hAnsi="仿宋" w:eastAsia="仿宋" w:cs="仿宋"/>
          <w:b/>
          <w:bCs/>
          <w:sz w:val="28"/>
          <w:szCs w:val="36"/>
        </w:rPr>
        <w:drawing>
          <wp:inline distT="0" distB="0" distL="114300" distR="114300">
            <wp:extent cx="4762500" cy="3171825"/>
            <wp:effectExtent l="0" t="0" r="0" b="9525"/>
            <wp:docPr id="4" name="图片 7" descr="王宗成老师指导学生在“创青春”全国大学生创业大赛中获全国银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王宗成老师指导学生在“创青春”全国大学生创业大赛中获全国银奖"/>
                    <pic:cNvPicPr>
                      <a:picLocks noChangeAspect="1"/>
                    </pic:cNvPicPr>
                  </pic:nvPicPr>
                  <pic:blipFill>
                    <a:blip r:embed="rId9"/>
                    <a:stretch>
                      <a:fillRect/>
                    </a:stretch>
                  </pic:blipFill>
                  <pic:spPr>
                    <a:xfrm>
                      <a:off x="0" y="0"/>
                      <a:ext cx="4762500" cy="3171825"/>
                    </a:xfrm>
                    <a:prstGeom prst="rect">
                      <a:avLst/>
                    </a:prstGeom>
                    <a:noFill/>
                    <a:ln>
                      <a:noFill/>
                    </a:ln>
                  </pic:spPr>
                </pic:pic>
              </a:graphicData>
            </a:graphic>
          </wp:inline>
        </w:drawing>
      </w:r>
    </w:p>
    <w:p>
      <w:pPr>
        <w:jc w:val="center"/>
        <w:rPr>
          <w:rFonts w:ascii="宋体" w:hAnsi="宋体" w:cs="宋体"/>
          <w:b/>
          <w:bCs/>
          <w:sz w:val="24"/>
          <w:szCs w:val="32"/>
        </w:rPr>
      </w:pPr>
    </w:p>
    <w:p>
      <w:pPr>
        <w:jc w:val="center"/>
        <w:rPr>
          <w:rFonts w:ascii="宋体" w:hAnsi="宋体" w:cs="宋体"/>
          <w:b/>
          <w:bCs/>
          <w:sz w:val="28"/>
          <w:szCs w:val="36"/>
        </w:rPr>
      </w:pPr>
      <w:r>
        <w:rPr>
          <w:rFonts w:hint="eastAsia" w:ascii="宋体" w:hAnsi="宋体" w:cs="宋体"/>
          <w:b/>
          <w:bCs/>
          <w:sz w:val="24"/>
          <w:szCs w:val="32"/>
        </w:rPr>
        <w:t>党员教师带领学生参加“创青春”全国大学生创业大赛</w:t>
      </w:r>
    </w:p>
    <w:p>
      <w:pPr>
        <w:jc w:val="center"/>
        <w:rPr>
          <w:rFonts w:ascii="仿宋" w:hAnsi="仿宋" w:eastAsia="仿宋" w:cs="仿宋"/>
          <w:b/>
          <w:bCs/>
          <w:sz w:val="28"/>
          <w:szCs w:val="36"/>
        </w:rPr>
      </w:pPr>
      <w:r>
        <w:rPr>
          <w:rFonts w:ascii="仿宋" w:hAnsi="仿宋" w:eastAsia="仿宋" w:cs="仿宋"/>
          <w:b/>
          <w:bCs/>
          <w:sz w:val="28"/>
          <w:szCs w:val="36"/>
        </w:rPr>
        <w:drawing>
          <wp:inline distT="0" distB="0" distL="114300" distR="114300">
            <wp:extent cx="4733925" cy="3550920"/>
            <wp:effectExtent l="0" t="0" r="9525" b="11430"/>
            <wp:docPr id="9" name="图片 8" descr="学科竞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学科竞赛"/>
                    <pic:cNvPicPr>
                      <a:picLocks noChangeAspect="1"/>
                    </pic:cNvPicPr>
                  </pic:nvPicPr>
                  <pic:blipFill>
                    <a:blip r:embed="rId10"/>
                    <a:stretch>
                      <a:fillRect/>
                    </a:stretch>
                  </pic:blipFill>
                  <pic:spPr>
                    <a:xfrm>
                      <a:off x="0" y="0"/>
                      <a:ext cx="4733925" cy="3550920"/>
                    </a:xfrm>
                    <a:prstGeom prst="rect">
                      <a:avLst/>
                    </a:prstGeom>
                    <a:noFill/>
                    <a:ln>
                      <a:noFill/>
                    </a:ln>
                  </pic:spPr>
                </pic:pic>
              </a:graphicData>
            </a:graphic>
          </wp:inline>
        </w:drawing>
      </w:r>
    </w:p>
    <w:p>
      <w:pPr>
        <w:jc w:val="center"/>
        <w:rPr>
          <w:rFonts w:ascii="宋体" w:hAnsi="宋体" w:cs="宋体"/>
          <w:b/>
          <w:bCs/>
          <w:sz w:val="24"/>
          <w:szCs w:val="32"/>
        </w:rPr>
      </w:pPr>
    </w:p>
    <w:p>
      <w:pPr>
        <w:jc w:val="center"/>
        <w:rPr>
          <w:rFonts w:ascii="宋体" w:hAnsi="宋体" w:cs="宋体"/>
          <w:b/>
          <w:bCs/>
          <w:sz w:val="24"/>
          <w:szCs w:val="32"/>
        </w:rPr>
      </w:pPr>
      <w:r>
        <w:rPr>
          <w:rFonts w:hint="eastAsia" w:ascii="宋体" w:hAnsi="宋体" w:cs="宋体"/>
          <w:b/>
          <w:bCs/>
          <w:sz w:val="24"/>
          <w:szCs w:val="32"/>
        </w:rPr>
        <w:t>党总支书记带领学生参加化学化工学科竞赛</w:t>
      </w:r>
    </w:p>
    <w:p>
      <w:pPr>
        <w:jc w:val="center"/>
        <w:rPr>
          <w:rFonts w:ascii="仿宋" w:hAnsi="仿宋" w:eastAsia="仿宋" w:cs="仿宋"/>
          <w:b/>
          <w:bCs/>
          <w:sz w:val="28"/>
          <w:szCs w:val="36"/>
        </w:rPr>
      </w:pPr>
    </w:p>
    <w:p>
      <w:pPr>
        <w:numPr>
          <w:ilvl w:val="0"/>
          <w:numId w:val="1"/>
        </w:numPr>
        <w:jc w:val="center"/>
        <w:rPr>
          <w:rFonts w:ascii="黑体" w:hAnsi="黑体" w:eastAsia="黑体" w:cs="黑体"/>
          <w:b/>
          <w:bCs/>
          <w:sz w:val="36"/>
          <w:szCs w:val="44"/>
        </w:rPr>
      </w:pPr>
      <w:r>
        <w:rPr>
          <w:rFonts w:hint="eastAsia" w:ascii="黑体" w:hAnsi="黑体" w:eastAsia="黑体" w:cs="黑体"/>
          <w:b/>
          <w:bCs/>
          <w:sz w:val="36"/>
          <w:szCs w:val="44"/>
        </w:rPr>
        <w:t>科研1+1+1</w:t>
      </w:r>
    </w:p>
    <w:tbl>
      <w:tblPr>
        <w:tblStyle w:val="6"/>
        <w:tblW w:w="10551" w:type="dxa"/>
        <w:tblInd w:w="-989" w:type="dxa"/>
        <w:tblLayout w:type="fixed"/>
        <w:tblCellMar>
          <w:top w:w="0" w:type="dxa"/>
          <w:left w:w="108" w:type="dxa"/>
          <w:bottom w:w="0" w:type="dxa"/>
          <w:right w:w="108" w:type="dxa"/>
        </w:tblCellMar>
      </w:tblPr>
      <w:tblGrid>
        <w:gridCol w:w="1410"/>
        <w:gridCol w:w="5676"/>
        <w:gridCol w:w="2019"/>
        <w:gridCol w:w="1446"/>
      </w:tblGrid>
      <w:tr>
        <w:tblPrEx>
          <w:tblCellMar>
            <w:top w:w="0" w:type="dxa"/>
            <w:left w:w="108" w:type="dxa"/>
            <w:bottom w:w="0" w:type="dxa"/>
            <w:right w:w="108" w:type="dxa"/>
          </w:tblCellMar>
        </w:tblPrEx>
        <w:trPr>
          <w:trHeight w:val="600" w:hRule="atLeast"/>
        </w:trPr>
        <w:tc>
          <w:tcPr>
            <w:tcW w:w="10551" w:type="dxa"/>
            <w:gridSpan w:val="4"/>
            <w:tcBorders>
              <w:top w:val="single" w:color="000000" w:sz="4" w:space="0"/>
              <w:left w:val="single" w:color="000000" w:sz="4" w:space="0"/>
              <w:bottom w:val="single" w:color="000000" w:sz="4" w:space="0"/>
              <w:right w:val="single" w:color="000000" w:sz="4" w:space="0"/>
            </w:tcBorders>
            <w:vAlign w:val="center"/>
          </w:tcPr>
          <w:p>
            <w:pPr>
              <w:pStyle w:val="4"/>
              <w:jc w:val="center"/>
              <w:rPr>
                <w:rFonts w:ascii="宋体" w:hAnsi="宋体" w:cs="宋体"/>
                <w:b/>
                <w:bCs/>
                <w:color w:val="000000"/>
                <w:sz w:val="28"/>
                <w:szCs w:val="28"/>
              </w:rPr>
            </w:pPr>
            <w:r>
              <w:rPr>
                <w:rFonts w:hint="eastAsia" w:ascii="仿宋" w:hAnsi="仿宋" w:eastAsia="仿宋" w:cs="仿宋"/>
                <w:b/>
                <w:bCs/>
                <w:sz w:val="32"/>
                <w:szCs w:val="48"/>
              </w:rPr>
              <w:t>中心学生发表的部分论文</w:t>
            </w:r>
          </w:p>
        </w:tc>
      </w:tr>
      <w:tr>
        <w:tblPrEx>
          <w:tblCellMar>
            <w:top w:w="0" w:type="dxa"/>
            <w:left w:w="108" w:type="dxa"/>
            <w:bottom w:w="0" w:type="dxa"/>
            <w:right w:w="108" w:type="dxa"/>
          </w:tblCellMar>
        </w:tblPrEx>
        <w:trPr>
          <w:trHeight w:val="60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ED7D31" w:themeFill="accent2"/>
            <w:vAlign w:val="center"/>
          </w:tcPr>
          <w:p>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学生姓名</w:t>
            </w:r>
          </w:p>
        </w:tc>
        <w:tc>
          <w:tcPr>
            <w:tcW w:w="5676" w:type="dxa"/>
            <w:tcBorders>
              <w:top w:val="single" w:color="000000" w:sz="4" w:space="0"/>
              <w:left w:val="single" w:color="000000" w:sz="4" w:space="0"/>
              <w:bottom w:val="single" w:color="000000" w:sz="4" w:space="0"/>
              <w:right w:val="single" w:color="000000" w:sz="4" w:space="0"/>
            </w:tcBorders>
            <w:shd w:val="clear" w:color="auto" w:fill="ED7D31" w:themeFill="accent2"/>
            <w:vAlign w:val="center"/>
          </w:tcPr>
          <w:p>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论文名称</w:t>
            </w:r>
          </w:p>
        </w:tc>
        <w:tc>
          <w:tcPr>
            <w:tcW w:w="2019" w:type="dxa"/>
            <w:tcBorders>
              <w:top w:val="single" w:color="000000" w:sz="4" w:space="0"/>
              <w:left w:val="single" w:color="000000" w:sz="4" w:space="0"/>
              <w:bottom w:val="single" w:color="000000" w:sz="4" w:space="0"/>
              <w:right w:val="single" w:color="000000" w:sz="4" w:space="0"/>
            </w:tcBorders>
            <w:shd w:val="clear" w:color="auto" w:fill="ED7D31" w:themeFill="accent2"/>
            <w:vAlign w:val="center"/>
          </w:tcPr>
          <w:p>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发表期刊</w:t>
            </w:r>
          </w:p>
        </w:tc>
        <w:tc>
          <w:tcPr>
            <w:tcW w:w="1446" w:type="dxa"/>
            <w:tcBorders>
              <w:top w:val="single" w:color="000000" w:sz="4" w:space="0"/>
              <w:left w:val="single" w:color="000000" w:sz="4" w:space="0"/>
              <w:bottom w:val="single" w:color="000000" w:sz="4" w:space="0"/>
              <w:right w:val="single" w:color="000000" w:sz="4" w:space="0"/>
            </w:tcBorders>
            <w:shd w:val="clear" w:color="auto" w:fill="ED7D31" w:themeFill="accent2"/>
            <w:vAlign w:val="center"/>
          </w:tcPr>
          <w:p>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发表时间</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吴琼英</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杏参沐浴露的工艺设计与性能检测</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广州化工</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2020</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邓邵文</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基于单肽下的相选择胶凝剂的制备及凝胶性能测定</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山东化工</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2020</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邓邵文</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维生素C缩醛衍生物的合成及清楚自由基性能研究</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应用化学</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2020</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彭臻、洪芸芸</w:t>
            </w:r>
          </w:p>
        </w:tc>
        <w:tc>
          <w:tcPr>
            <w:tcW w:w="5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《Photosensitizer-free Synthesis of β-keto sulfones</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via Visible-Light-Induced Oxysulfonylation of Alkenes with Sulfonic Acids》</w:t>
            </w:r>
          </w:p>
        </w:tc>
        <w:tc>
          <w:tcPr>
            <w:tcW w:w="20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Organic</w:t>
            </w:r>
            <w:r>
              <w:rPr>
                <w:rFonts w:ascii="宋体" w:hAnsi="宋体" w:cs="宋体"/>
                <w:color w:val="000000"/>
                <w:kern w:val="0"/>
                <w:sz w:val="20"/>
                <w:szCs w:val="20"/>
                <w:lang w:bidi="ar"/>
              </w:rPr>
              <w:t xml:space="preserve"> </w:t>
            </w:r>
            <w:r>
              <w:rPr>
                <w:rFonts w:hint="eastAsia" w:ascii="宋体" w:hAnsi="宋体" w:cs="宋体"/>
                <w:color w:val="000000"/>
                <w:kern w:val="0"/>
                <w:sz w:val="20"/>
                <w:szCs w:val="20"/>
                <w:lang w:bidi="ar"/>
              </w:rPr>
              <w:t>Biomolecular</w:t>
            </w:r>
            <w:r>
              <w:rPr>
                <w:rFonts w:ascii="宋体" w:hAnsi="宋体" w:cs="宋体"/>
                <w:color w:val="000000"/>
                <w:kern w:val="0"/>
                <w:sz w:val="20"/>
                <w:szCs w:val="20"/>
                <w:lang w:bidi="ar"/>
              </w:rPr>
              <w:t xml:space="preserve"> </w:t>
            </w:r>
            <w:r>
              <w:rPr>
                <w:rFonts w:hint="eastAsia" w:ascii="宋体" w:hAnsi="宋体" w:cs="宋体"/>
                <w:color w:val="000000"/>
                <w:kern w:val="0"/>
                <w:sz w:val="20"/>
                <w:szCs w:val="20"/>
                <w:lang w:bidi="ar"/>
              </w:rPr>
              <w:t>Chemistry</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2021</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龙娟</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《核磁共振法监控山茶油甘油解的方法研究》</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中国油脂</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2020</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周耀</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《Dipeptide-BasedPhase-SelectiveGelatorsforRemovalofOilsandToxic DyesfromWater》</w:t>
            </w:r>
          </w:p>
        </w:tc>
        <w:tc>
          <w:tcPr>
            <w:tcW w:w="201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应用化学</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2020</w:t>
            </w:r>
          </w:p>
        </w:tc>
      </w:tr>
      <w:tr>
        <w:tblPrEx>
          <w:tblCellMar>
            <w:top w:w="0" w:type="dxa"/>
            <w:left w:w="108" w:type="dxa"/>
            <w:bottom w:w="0" w:type="dxa"/>
            <w:right w:w="108" w:type="dxa"/>
          </w:tblCellMar>
        </w:tblPrEx>
        <w:trPr>
          <w:trHeight w:val="270" w:hRule="atLeast"/>
        </w:trPr>
        <w:tc>
          <w:tcPr>
            <w:tcW w:w="14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于凌一丹</w:t>
            </w:r>
          </w:p>
        </w:tc>
        <w:tc>
          <w:tcPr>
            <w:tcW w:w="5676"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银杏外种皮和垂序商陆二者复配剂对小菜蛾杀灭活性</w:t>
            </w:r>
          </w:p>
        </w:tc>
        <w:tc>
          <w:tcPr>
            <w:tcW w:w="201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植物与资源学报</w:t>
            </w:r>
          </w:p>
        </w:tc>
        <w:tc>
          <w:tcPr>
            <w:tcW w:w="1446"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2020</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王浩、杨千</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An efficient and eco-friendly route to prepare graphene nanosheet and its effect on the flammability of polypropylene composites</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Polymers for Advanced Technologies</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张霖</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二肽凝胶剂的制备及其染料去除性能的研究</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山东化工</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陈浒</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双歧杆菌次级代谢产物生物合成基因簇挖掘与毒力因子分析</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基因组学与应用生物学</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张佳蒙</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1.氯化钙破乳辅助水酶法提取江永香柚籽油工艺的研究 2.石榴籽营养成分提取及其功能和应用研究进展</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1.中国粮油学报2.山东化工</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2021</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徐晨</w:t>
            </w:r>
          </w:p>
        </w:tc>
        <w:tc>
          <w:tcPr>
            <w:tcW w:w="5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荔枝果实的营养成分、生物活性及其综合利用研究进展</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果树学报</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江鹏</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二肽凝胶剂的制备及其染料去除性能的研究</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山东化工</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刘千千</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氯化钙破乳辅助水酶法提取江永香柚籽油工艺的研究</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中国粮油学报</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w:t>
            </w:r>
            <w:r>
              <w:rPr>
                <w:rFonts w:ascii="宋体" w:hAnsi="宋体" w:cs="宋体"/>
                <w:color w:val="000000"/>
                <w:sz w:val="20"/>
                <w:szCs w:val="20"/>
              </w:rPr>
              <w:t xml:space="preserve"> </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曾悦、刘若灵、周佳伶、罗紫晴</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室温相选择二肽凝胶剂的制备及凝胶性能研究</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山东化工</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w:t>
            </w:r>
          </w:p>
        </w:tc>
      </w:tr>
      <w:tr>
        <w:tblPrEx>
          <w:tblCellMar>
            <w:top w:w="0" w:type="dxa"/>
            <w:left w:w="108" w:type="dxa"/>
            <w:bottom w:w="0" w:type="dxa"/>
            <w:right w:w="108" w:type="dxa"/>
          </w:tblCellMar>
        </w:tblPrEx>
        <w:trPr>
          <w:trHeight w:val="330" w:hRule="atLeast"/>
        </w:trPr>
        <w:tc>
          <w:tcPr>
            <w:tcW w:w="14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胡旌亮</w:t>
            </w:r>
          </w:p>
        </w:tc>
        <w:tc>
          <w:tcPr>
            <w:tcW w:w="56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二肽凝胶剂的制备及其染料去除性能的研究</w:t>
            </w:r>
          </w:p>
        </w:tc>
        <w:tc>
          <w:tcPr>
            <w:tcW w:w="20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山东化工</w:t>
            </w:r>
          </w:p>
        </w:tc>
        <w:tc>
          <w:tcPr>
            <w:tcW w:w="14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2021</w:t>
            </w:r>
          </w:p>
        </w:tc>
      </w:tr>
    </w:tbl>
    <w:p>
      <w:pPr>
        <w:rPr>
          <w:rFonts w:ascii="黑体" w:hAnsi="黑体" w:eastAsia="黑体" w:cs="黑体"/>
          <w:b/>
          <w:bCs/>
          <w:sz w:val="36"/>
          <w:szCs w:val="44"/>
        </w:rPr>
      </w:pPr>
    </w:p>
    <w:p>
      <w:pPr>
        <w:rPr>
          <w:rFonts w:ascii="黑体" w:hAnsi="黑体" w:eastAsia="黑体" w:cs="黑体"/>
          <w:b/>
          <w:bCs/>
          <w:sz w:val="36"/>
          <w:szCs w:val="44"/>
        </w:rPr>
      </w:pPr>
    </w:p>
    <w:p>
      <w:pPr>
        <w:rPr>
          <w:rFonts w:ascii="黑体" w:hAnsi="黑体" w:eastAsia="黑体" w:cs="黑体"/>
          <w:b/>
          <w:bCs/>
          <w:sz w:val="36"/>
          <w:szCs w:val="44"/>
        </w:rPr>
      </w:pPr>
    </w:p>
    <w:p>
      <w:pPr>
        <w:rPr>
          <w:rFonts w:ascii="黑体" w:hAnsi="黑体" w:eastAsia="黑体" w:cs="黑体"/>
          <w:b/>
          <w:bCs/>
          <w:sz w:val="36"/>
          <w:szCs w:val="44"/>
        </w:rPr>
      </w:pPr>
    </w:p>
    <w:p>
      <w:pPr>
        <w:rPr>
          <w:rFonts w:ascii="黑体" w:hAnsi="黑体" w:eastAsia="黑体" w:cs="黑体"/>
          <w:b/>
          <w:bCs/>
          <w:sz w:val="36"/>
          <w:szCs w:val="44"/>
        </w:rPr>
      </w:pPr>
    </w:p>
    <w:p>
      <w:pPr>
        <w:rPr>
          <w:rFonts w:ascii="黑体" w:hAnsi="黑体" w:eastAsia="黑体" w:cs="黑体"/>
          <w:b/>
          <w:bCs/>
          <w:sz w:val="36"/>
          <w:szCs w:val="44"/>
        </w:rPr>
      </w:pPr>
    </w:p>
    <w:p>
      <w:pPr>
        <w:jc w:val="center"/>
        <w:rPr>
          <w:rFonts w:ascii="黑体" w:hAnsi="黑体" w:eastAsia="黑体" w:cs="黑体"/>
          <w:b/>
          <w:bCs/>
          <w:sz w:val="36"/>
          <w:szCs w:val="44"/>
        </w:rPr>
      </w:pPr>
      <w:r>
        <w:rPr>
          <w:rFonts w:hint="eastAsia" w:ascii="黑体" w:hAnsi="黑体" w:eastAsia="黑体" w:cs="黑体"/>
          <w:b/>
          <w:bCs/>
          <w:sz w:val="36"/>
          <w:szCs w:val="44"/>
        </w:rPr>
        <w:t>五、服务地方1+1+1</w:t>
      </w:r>
    </w:p>
    <w:p>
      <w:pPr>
        <w:rPr>
          <w:b/>
          <w:bCs/>
          <w:sz w:val="24"/>
          <w:szCs w:val="32"/>
        </w:rPr>
      </w:pPr>
    </w:p>
    <w:p>
      <w:r>
        <w:drawing>
          <wp:inline distT="0" distB="0" distL="114300" distR="114300">
            <wp:extent cx="2609850" cy="1985645"/>
            <wp:effectExtent l="0" t="0" r="0" b="14605"/>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3"/>
                    <pic:cNvPicPr>
                      <a:picLocks noChangeAspect="1"/>
                    </pic:cNvPicPr>
                  </pic:nvPicPr>
                  <pic:blipFill>
                    <a:blip r:embed="rId11"/>
                    <a:stretch>
                      <a:fillRect/>
                    </a:stretch>
                  </pic:blipFill>
                  <pic:spPr>
                    <a:xfrm>
                      <a:off x="0" y="0"/>
                      <a:ext cx="2609850" cy="1985645"/>
                    </a:xfrm>
                    <a:prstGeom prst="rect">
                      <a:avLst/>
                    </a:prstGeom>
                    <a:noFill/>
                    <a:ln>
                      <a:noFill/>
                    </a:ln>
                  </pic:spPr>
                </pic:pic>
              </a:graphicData>
            </a:graphic>
          </wp:inline>
        </w:drawing>
      </w:r>
      <w:r>
        <w:drawing>
          <wp:inline distT="0" distB="0" distL="114300" distR="114300">
            <wp:extent cx="2623820" cy="1997710"/>
            <wp:effectExtent l="0" t="0" r="5080" b="254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2"/>
                    <a:stretch>
                      <a:fillRect/>
                    </a:stretch>
                  </pic:blipFill>
                  <pic:spPr>
                    <a:xfrm>
                      <a:off x="0" y="0"/>
                      <a:ext cx="2623820" cy="1997710"/>
                    </a:xfrm>
                    <a:prstGeom prst="rect">
                      <a:avLst/>
                    </a:prstGeom>
                    <a:noFill/>
                    <a:ln>
                      <a:noFill/>
                    </a:ln>
                  </pic:spPr>
                </pic:pic>
              </a:graphicData>
            </a:graphic>
          </wp:inline>
        </w:drawing>
      </w:r>
    </w:p>
    <w:p>
      <w:pPr>
        <w:ind w:firstLine="482" w:firstLineChars="200"/>
        <w:rPr>
          <w:b/>
          <w:bCs/>
          <w:sz w:val="24"/>
          <w:szCs w:val="32"/>
        </w:rPr>
      </w:pPr>
      <w:r>
        <w:rPr>
          <w:rFonts w:hint="eastAsia"/>
          <w:b/>
          <w:bCs/>
          <w:sz w:val="24"/>
          <w:szCs w:val="32"/>
        </w:rPr>
        <w:t>博士团队科技助力农业高效复产        “三下乡”指导瑶药种植</w:t>
      </w:r>
    </w:p>
    <w:p>
      <w:pPr>
        <w:ind w:firstLine="482" w:firstLineChars="200"/>
        <w:rPr>
          <w:b/>
          <w:bCs/>
          <w:sz w:val="24"/>
          <w:szCs w:val="32"/>
        </w:rPr>
      </w:pPr>
    </w:p>
    <w:p>
      <w:pPr>
        <w:jc w:val="left"/>
      </w:pPr>
      <w:r>
        <w:drawing>
          <wp:inline distT="0" distB="0" distL="114300" distR="114300">
            <wp:extent cx="2549525" cy="1971675"/>
            <wp:effectExtent l="0" t="0" r="3175" b="9525"/>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pic:cNvPicPr>
                      <a:picLocks noChangeAspect="1"/>
                    </pic:cNvPicPr>
                  </pic:nvPicPr>
                  <pic:blipFill>
                    <a:blip r:embed="rId13"/>
                    <a:stretch>
                      <a:fillRect/>
                    </a:stretch>
                  </pic:blipFill>
                  <pic:spPr>
                    <a:xfrm>
                      <a:off x="0" y="0"/>
                      <a:ext cx="2549525" cy="1971675"/>
                    </a:xfrm>
                    <a:prstGeom prst="rect">
                      <a:avLst/>
                    </a:prstGeom>
                    <a:noFill/>
                    <a:ln>
                      <a:noFill/>
                    </a:ln>
                  </pic:spPr>
                </pic:pic>
              </a:graphicData>
            </a:graphic>
          </wp:inline>
        </w:drawing>
      </w:r>
      <w:r>
        <w:drawing>
          <wp:inline distT="0" distB="0" distL="114300" distR="114300">
            <wp:extent cx="2639060" cy="1987550"/>
            <wp:effectExtent l="0" t="0" r="8890" b="1270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4"/>
                    <a:stretch>
                      <a:fillRect/>
                    </a:stretch>
                  </pic:blipFill>
                  <pic:spPr>
                    <a:xfrm>
                      <a:off x="0" y="0"/>
                      <a:ext cx="2639060" cy="1987550"/>
                    </a:xfrm>
                    <a:prstGeom prst="rect">
                      <a:avLst/>
                    </a:prstGeom>
                    <a:noFill/>
                    <a:ln>
                      <a:noFill/>
                    </a:ln>
                  </pic:spPr>
                </pic:pic>
              </a:graphicData>
            </a:graphic>
          </wp:inline>
        </w:drawing>
      </w:r>
    </w:p>
    <w:p>
      <w:pPr>
        <w:ind w:firstLine="964" w:firstLineChars="400"/>
        <w:rPr>
          <w:b/>
          <w:bCs/>
          <w:sz w:val="24"/>
          <w:szCs w:val="32"/>
        </w:rPr>
      </w:pPr>
      <w:r>
        <w:rPr>
          <w:rFonts w:hint="eastAsia"/>
          <w:b/>
          <w:bCs/>
          <w:sz w:val="24"/>
          <w:szCs w:val="32"/>
        </w:rPr>
        <w:t>指导农户生姜种植                     指导土壤消毒</w:t>
      </w:r>
    </w:p>
    <w:p>
      <w:pPr>
        <w:ind w:firstLine="964" w:firstLineChars="400"/>
        <w:rPr>
          <w:b/>
          <w:bCs/>
          <w:sz w:val="24"/>
          <w:szCs w:val="32"/>
        </w:rPr>
      </w:pPr>
    </w:p>
    <w:p>
      <w:pPr>
        <w:ind w:firstLine="964" w:firstLineChars="400"/>
        <w:rPr>
          <w:b/>
          <w:bCs/>
          <w:sz w:val="24"/>
          <w:szCs w:val="32"/>
        </w:rPr>
      </w:pPr>
    </w:p>
    <w:p>
      <w:pPr>
        <w:rPr>
          <w:b/>
          <w:bCs/>
          <w:sz w:val="24"/>
          <w:szCs w:val="32"/>
        </w:rPr>
      </w:pPr>
    </w:p>
    <w:p>
      <w:pPr>
        <w:widowControl/>
        <w:jc w:val="left"/>
      </w:pPr>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87BB04"/>
    <w:multiLevelType w:val="singleLevel"/>
    <w:tmpl w:val="5187BB0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877A99"/>
    <w:rsid w:val="001719B7"/>
    <w:rsid w:val="0051366B"/>
    <w:rsid w:val="00C55113"/>
    <w:rsid w:val="00D0743B"/>
    <w:rsid w:val="00D8163B"/>
    <w:rsid w:val="00FA1C08"/>
    <w:rsid w:val="03BC5BCD"/>
    <w:rsid w:val="09FB1114"/>
    <w:rsid w:val="11860115"/>
    <w:rsid w:val="1B2D30F7"/>
    <w:rsid w:val="1C281198"/>
    <w:rsid w:val="1F2706B7"/>
    <w:rsid w:val="252611AB"/>
    <w:rsid w:val="260F58CA"/>
    <w:rsid w:val="28F514C2"/>
    <w:rsid w:val="2A9A3CCD"/>
    <w:rsid w:val="2EFF3B41"/>
    <w:rsid w:val="2FF061D0"/>
    <w:rsid w:val="47877A99"/>
    <w:rsid w:val="4BC15012"/>
    <w:rsid w:val="4EEA4880"/>
    <w:rsid w:val="563D798B"/>
    <w:rsid w:val="5A6E45B7"/>
    <w:rsid w:val="6927061B"/>
    <w:rsid w:val="6E2C47BC"/>
    <w:rsid w:val="7B96294B"/>
    <w:rsid w:val="7EB51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unhideWhenUsed/>
    <w:qFormat/>
    <w:uiPriority w:val="99"/>
    <w:pPr>
      <w:spacing w:before="100" w:beforeAutospacing="1"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Autospacing="1" w:afterAutospacing="1"/>
      <w:jc w:val="left"/>
    </w:pPr>
    <w:rPr>
      <w:rFonts w:ascii="宋体" w:hAnsi="宋体"/>
      <w:kern w:val="0"/>
      <w:sz w:val="24"/>
    </w:rPr>
  </w:style>
  <w:style w:type="character" w:customStyle="1" w:styleId="8">
    <w:name w:val="font51"/>
    <w:basedOn w:val="7"/>
    <w:uiPriority w:val="0"/>
    <w:rPr>
      <w:rFonts w:hint="eastAsia" w:ascii="宋体" w:hAnsi="宋体" w:eastAsia="宋体" w:cs="宋体"/>
      <w:color w:val="000000"/>
      <w:sz w:val="20"/>
      <w:szCs w:val="20"/>
      <w:u w:val="none"/>
    </w:rPr>
  </w:style>
  <w:style w:type="character" w:customStyle="1" w:styleId="9">
    <w:name w:val="font11"/>
    <w:basedOn w:val="7"/>
    <w:uiPriority w:val="0"/>
    <w:rPr>
      <w:rFonts w:ascii="Arial" w:hAnsi="Arial" w:cs="Arial"/>
      <w:color w:val="000000"/>
      <w:sz w:val="20"/>
      <w:szCs w:val="20"/>
      <w:u w:val="none"/>
    </w:rPr>
  </w:style>
  <w:style w:type="character" w:customStyle="1" w:styleId="10">
    <w:name w:val="font21"/>
    <w:basedOn w:val="7"/>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934</Words>
  <Characters>5328</Characters>
  <Lines>44</Lines>
  <Paragraphs>12</Paragraphs>
  <TotalTime>21</TotalTime>
  <ScaleCrop>false</ScaleCrop>
  <LinksUpToDate>false</LinksUpToDate>
  <CharactersWithSpaces>6250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2021-11-17T01:17:00Z</dcterms:created>
  <dc:creator>Administrator</dc:creator>
  <cp:lastModifiedBy>Administrator</cp:lastModifiedBy>
  <cp:lastPrinted>2021-11-17T02:09:00Z</cp:lastPrinted>
  <dcterms:modified xsi:type="dcterms:W3CDTF">2022-02-21T08:28:11Z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E565747461944E85B5059C533F2E857D</vt:lpwstr>
  </property>
</Properties>
</file>